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80"/>
      </w:pPr>
      <w:r>
        <w:rPr>
          <w:rFonts w:ascii="Arial" w:cs="Arial" w:eastAsia="Arial" w:hAnsi="Arial"/>
          <w:b/>
          <w:bCs/>
          <w:color w:val="0A1628"/>
          <w:sz w:val="28"/>
          <w:szCs w:val="28"/>
        </w:rPr>
        <w:t xml:space="preserve">UPDATE MENSUEL INVESTISSEURS</w:t>
      </w:r>
    </w:p>
    <w:p>
      <w:pPr>
        <w:spacing w:after="30" w:before="30"/>
      </w:pPr>
      <w:r>
        <w:rPr>
          <w:rFonts w:ascii="Arial" w:cs="Arial" w:eastAsia="Arial" w:hAnsi="Arial"/>
          <w:b/>
          <w:bCs/>
          <w:color w:val="1F2937"/>
          <w:sz w:val="20"/>
          <w:szCs w:val="20"/>
        </w:rPr>
        <w:t xml:space="preserve">[Votre société]  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·  avril 2026  ·  par [Nom du fondateur]  ·  confidentiel, investisseurs actuels</w:t>
      </w:r>
    </w:p>
    <w:p>
      <w:pPr>
        <w:spacing w:after="40" w:before="0"/>
      </w:pPr>
      <w:r>
        <w:rPr>
          <w:rFonts w:ascii="Arial" w:cs="Arial" w:eastAsia="Arial" w:hAnsi="Arial"/>
          <w:i/>
          <w:iCs/>
          <w:color w:val="9CA3AF"/>
          <w:sz w:val="15"/>
          <w:szCs w:val="15"/>
        </w:rPr>
        <w:t xml:space="preserve">Exemple à titre de référence. Remplacez chiffres, noms et bullets par vos données, puis supprimez cette ligne avant d’envoyer.</w:t>
      </w:r>
    </w:p>
    <w:p>
      <w:pPr>
        <w:spacing w:after="40" w:before="120"/>
      </w:pPr>
      <w:r>
        <w:rPr>
          <w:rFonts w:ascii="Consolas" w:cs="Consolas" w:eastAsia="Consolas" w:hAnsi="Consolas"/>
          <w:b/>
          <w:bCs/>
          <w:color w:val="6D28D9"/>
          <w:sz w:val="17"/>
          <w:szCs w:val="17"/>
        </w:rPr>
        <w:t xml:space="preserve">●  L’ESSENTIEL</w:t>
      </w:r>
    </w:p>
    <w:p>
      <w:pPr>
        <w:spacing w:after="40" w:before="0" w:line="240"/>
      </w:pPr>
      <w:r>
        <w:rPr>
          <w:rFonts w:ascii="Arial" w:cs="Arial" w:eastAsia="Arial" w:hAnsi="Arial"/>
          <w:i w:val="false"/>
          <w:iCs w:val="false"/>
          <w:color w:val="1F2937"/>
          <w:sz w:val="18"/>
          <w:szCs w:val="18"/>
        </w:rPr>
        <w:t xml:space="preserve">Franchi 99,4% de fidélité de porte 2-qubit sur le chip v3, signé notre second POC payé (180 k$, 6 mois) avec une banque européenne top-3, et EIC Accelerator passé à l’étape 3. Tape-out du chip v4 prévu avant le prochain update.</w:t>
      </w:r>
    </w:p>
    <w:p>
      <w:pPr>
        <w:spacing w:after="40" w:before="120"/>
      </w:pPr>
      <w:r>
        <w:rPr>
          <w:rFonts w:ascii="Consolas" w:cs="Consolas" w:eastAsia="Consolas" w:hAnsi="Consolas"/>
          <w:b/>
          <w:bCs/>
          <w:color w:val="6D28D9"/>
          <w:sz w:val="17"/>
          <w:szCs w:val="17"/>
        </w:rPr>
        <w:t xml:space="preserve">●  KPIs  /  vs mois dernier</w:t>
      </w:r>
    </w:p>
    <w:tbl>
      <w:tblPr>
        <w:tblW w:type="dxa" w:w="10080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single" w:color="E5E7EB" w:sz="4"/>
          <w:insideV w:val="single" w:color="E5E7EB" w:sz="4"/>
        </w:tblBorders>
      </w:tblPr>
      <w:tblGrid>
        <w:gridCol w:w="4920"/>
        <w:gridCol w:w="1720"/>
        <w:gridCol w:w="1720"/>
        <w:gridCol w:w="1720"/>
      </w:tblGrid>
      <w:tr>
        <w:trPr>
          <w:tblHeader/>
        </w:trPr>
        <w:tc>
          <w:tcPr>
            <w:tcW w:type="dxa" w:w="4920"/>
            <w:shd w:fill="F8F6F1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6D28D9"/>
                <w:sz w:val="16"/>
                <w:szCs w:val="16"/>
              </w:rPr>
              <w:t xml:space="preserve">MÉTRIQUE</w:t>
            </w:r>
          </w:p>
        </w:tc>
        <w:tc>
          <w:tcPr>
            <w:tcW w:type="dxa" w:w="1720"/>
            <w:shd w:fill="F8F6F1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6D28D9"/>
                <w:sz w:val="16"/>
                <w:szCs w:val="16"/>
              </w:rPr>
              <w:t xml:space="preserve">CE MOIS</w:t>
            </w:r>
          </w:p>
        </w:tc>
        <w:tc>
          <w:tcPr>
            <w:tcW w:type="dxa" w:w="1720"/>
            <w:shd w:fill="F8F6F1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6D28D9"/>
                <w:sz w:val="16"/>
                <w:szCs w:val="16"/>
              </w:rPr>
              <w:t xml:space="preserve">DERNIER</w:t>
            </w:r>
          </w:p>
        </w:tc>
        <w:tc>
          <w:tcPr>
            <w:tcW w:type="dxa" w:w="1720"/>
            <w:shd w:fill="F8F6F1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Consolas" w:cs="Consolas" w:eastAsia="Consolas" w:hAnsi="Consolas"/>
                <w:b/>
                <w:bCs/>
                <w:color w:val="6D28D9"/>
                <w:sz w:val="16"/>
                <w:szCs w:val="16"/>
              </w:rPr>
              <w:t xml:space="preserve">Δ</w:t>
            </w:r>
          </w:p>
        </w:tc>
      </w:tr>
      <w:tr>
        <w:tc>
          <w:tcPr>
            <w:tcW w:type="dxa" w:w="49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17"/>
                <w:szCs w:val="17"/>
              </w:rPr>
              <w:t xml:space="preserve">Trésorerie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3,4 M$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3,6 M$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−240 k$</w:t>
            </w:r>
          </w:p>
        </w:tc>
      </w:tr>
      <w:tr>
        <w:tc>
          <w:tcPr>
            <w:tcW w:type="dxa" w:w="49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17"/>
                <w:szCs w:val="17"/>
              </w:rPr>
              <w:t xml:space="preserve">Runway (mois, burn actuel)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19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20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−1</w:t>
            </w:r>
          </w:p>
        </w:tc>
      </w:tr>
      <w:tr>
        <w:tc>
          <w:tcPr>
            <w:tcW w:type="dxa" w:w="49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17"/>
                <w:szCs w:val="17"/>
              </w:rPr>
              <w:t xml:space="preserve">Effectif (ETP)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11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10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+1</w:t>
            </w:r>
          </w:p>
        </w:tc>
      </w:tr>
      <w:tr>
        <w:tc>
          <w:tcPr>
            <w:tcW w:type="dxa" w:w="49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17"/>
                <w:szCs w:val="17"/>
              </w:rPr>
              <w:t xml:space="preserve">Meilleure fidélité de porte 2-qubit (ou photonic loss / SPAM équiv)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99,42%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99,31%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+0,11</w:t>
            </w:r>
          </w:p>
        </w:tc>
      </w:tr>
      <w:tr>
        <w:tc>
          <w:tcPr>
            <w:tcW w:type="dxa" w:w="49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17"/>
                <w:szCs w:val="17"/>
              </w:rPr>
              <w:t xml:space="preserve">Quantum Volume / CLOPS / suite équivalente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128 QV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64 QV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+1 doublement</w:t>
            </w:r>
          </w:p>
        </w:tc>
      </w:tr>
      <w:tr>
        <w:tc>
          <w:tcPr>
            <w:tcW w:type="dxa" w:w="49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17"/>
                <w:szCs w:val="17"/>
              </w:rPr>
              <w:t xml:space="preserve">Pilotes payés / POCs (actifs)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2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1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+1</w:t>
            </w:r>
          </w:p>
        </w:tc>
      </w:tr>
      <w:tr>
        <w:tc>
          <w:tcPr>
            <w:tcW w:type="dxa" w:w="49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17"/>
                <w:szCs w:val="17"/>
              </w:rPr>
              <w:t xml:space="preserve">Valeur pipeline (term sheets signés)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480 k$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300 k$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+180 k$</w:t>
            </w:r>
          </w:p>
        </w:tc>
      </w:tr>
      <w:tr>
        <w:tc>
          <w:tcPr>
            <w:tcW w:type="dxa" w:w="49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F2937"/>
                <w:sz w:val="17"/>
                <w:szCs w:val="17"/>
              </w:rPr>
              <w:t xml:space="preserve">Non-dilutif engagé YTD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1F2937"/>
                <w:sz w:val="17"/>
                <w:szCs w:val="17"/>
              </w:rPr>
              <w:t xml:space="preserve">2,1 M$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2,1 M$</w:t>
            </w:r>
          </w:p>
        </w:tc>
        <w:tc>
          <w:tcPr>
            <w:tcW w:type="dxa" w:w="1720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7"/>
                <w:szCs w:val="17"/>
              </w:rPr>
              <w:t xml:space="preserve">stable</w:t>
            </w:r>
          </w:p>
        </w:tc>
      </w:tr>
    </w:tbl>
    <w:p>
      <w:pPr>
        <w:spacing w:after="0" w:before="0"/>
      </w:pPr>
    </w:p>
    <w:p>
      <w:pPr>
        <w:spacing w:after="40" w:before="120"/>
      </w:pPr>
      <w:r>
        <w:rPr>
          <w:rFonts w:ascii="Consolas" w:cs="Consolas" w:eastAsia="Consolas" w:hAnsi="Consolas"/>
          <w:b/>
          <w:bCs/>
          <w:color w:val="6D28D9"/>
          <w:sz w:val="17"/>
          <w:szCs w:val="17"/>
        </w:rPr>
        <w:t xml:space="preserve">●  VICTOIRES</w:t>
      </w:r>
    </w:p>
    <w:p>
      <w:pPr>
        <w:pStyle w:val="ListParagraph"/>
        <w:numPr>
          <w:ilvl w:val="0"/>
          <w:numId w:val="2"/>
        </w:numPr>
        <w:spacing w:after="30" w:before="0" w:line="235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Chip v3 atteint 99,42% de fidélité 2-qubit (RB), premier jalon interne sous le plancher d’erreur de 0,6% sur lequel on s’était engagé au seed.</w:t>
      </w:r>
    </w:p>
    <w:p>
      <w:pPr>
        <w:pStyle w:val="ListParagraph"/>
        <w:numPr>
          <w:ilvl w:val="0"/>
          <w:numId w:val="2"/>
        </w:numPr>
        <w:spacing w:after="30" w:before="0" w:line="235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POC payé #2 closed avec [Banque X], 180 k$, livrable 6 mois : benchmark d’optimisation de portefeuille sur une slice 12-qubit. Métriques de succès actées par écrit.</w:t>
      </w:r>
    </w:p>
    <w:p>
      <w:pPr>
        <w:pStyle w:val="ListParagraph"/>
        <w:numPr>
          <w:ilvl w:val="0"/>
          <w:numId w:val="2"/>
        </w:numPr>
        <w:spacing w:after="30" w:before="0" w:line="235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EIC Accelerator passé à l’étape 3, décision attendue en juillet. Non-dilutif engagé YTD désormais à 2,1 M$.</w:t>
      </w:r>
    </w:p>
    <w:p>
      <w:pPr>
        <w:spacing w:after="40" w:before="120"/>
      </w:pPr>
      <w:r>
        <w:rPr>
          <w:rFonts w:ascii="Consolas" w:cs="Consolas" w:eastAsia="Consolas" w:hAnsi="Consolas"/>
          <w:b/>
          <w:bCs/>
          <w:color w:val="6D28D9"/>
          <w:sz w:val="17"/>
          <w:szCs w:val="17"/>
        </w:rPr>
        <w:t xml:space="preserve">●  DIFFICULTÉS  /  RISQUES</w:t>
      </w:r>
    </w:p>
    <w:p>
      <w:pPr>
        <w:pStyle w:val="ListParagraph"/>
        <w:numPr>
          <w:ilvl w:val="0"/>
          <w:numId w:val="2"/>
        </w:numPr>
        <w:spacing w:after="30" w:before="0" w:line="235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Délai BlueFors sur le second cryostat repoussé de Q4 à Q1 année prochaine, ce qui décale notre jalon two-system d’un trimestre. Mitigation : unité de backup verrouillée chez [Fournisseur Y] (livraison confirmée Q4).</w:t>
      </w:r>
    </w:p>
    <w:p>
      <w:pPr>
        <w:pStyle w:val="ListParagraph"/>
        <w:numPr>
          <w:ilvl w:val="0"/>
          <w:numId w:val="2"/>
        </w:numPr>
        <w:spacing w:after="30" w:before="0" w:line="235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Senior fab engineer parti chez [Concurrent]. Recherche de remplaçant active, deux finalistes d’Imec, offre prévue sous 4 semaines.</w:t>
      </w:r>
    </w:p>
    <w:p>
      <w:pPr>
        <w:spacing w:after="40" w:before="120"/>
      </w:pPr>
      <w:r>
        <w:rPr>
          <w:rFonts w:ascii="Consolas" w:cs="Consolas" w:eastAsia="Consolas" w:hAnsi="Consolas"/>
          <w:b/>
          <w:bCs/>
          <w:color w:val="6D28D9"/>
          <w:sz w:val="17"/>
          <w:szCs w:val="17"/>
        </w:rPr>
        <w:t xml:space="preserve">●  DEMANDES  /  précises, nommées</w:t>
      </w:r>
    </w:p>
    <w:p>
      <w:pPr>
        <w:pStyle w:val="ListParagraph"/>
        <w:numPr>
          <w:ilvl w:val="0"/>
          <w:numId w:val="3"/>
        </w:numPr>
        <w:spacing w:after="30" w:before="0" w:line="235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Intro chaude à l’équipe commerciale de Pasqal pour un pilote de co-marketing sur le benchmarking neutral-atom vs superconducteur.</w:t>
      </w:r>
    </w:p>
    <w:p>
      <w:pPr>
        <w:pStyle w:val="ListParagraph"/>
        <w:numPr>
          <w:ilvl w:val="0"/>
          <w:numId w:val="3"/>
        </w:numPr>
        <w:spacing w:after="30" w:before="0" w:line="235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Call de référence avec l’un de vos fondateurs déployés sur AWS Braket. On évalue Braket vs Azure Quantum pour notre API customer-facing ; 30 minutes suffisent.</w:t>
      </w:r>
    </w:p>
    <w:p>
      <w:pPr>
        <w:pStyle w:val="ListParagraph"/>
        <w:numPr>
          <w:ilvl w:val="0"/>
          <w:numId w:val="3"/>
        </w:numPr>
        <w:spacing w:after="30" w:before="0" w:line="235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Recrutement : senior cryo-electronics engineer. Intros bienvenues à des candidats qui quittent Zurich Instruments, QBlox ou Quantum Machines.</w:t>
      </w:r>
    </w:p>
    <w:p>
      <w:pPr>
        <w:spacing w:after="40" w:before="120"/>
      </w:pPr>
      <w:r>
        <w:rPr>
          <w:rFonts w:ascii="Consolas" w:cs="Consolas" w:eastAsia="Consolas" w:hAnsi="Consolas"/>
          <w:b/>
          <w:bCs/>
          <w:color w:val="6D28D9"/>
          <w:sz w:val="17"/>
          <w:szCs w:val="17"/>
        </w:rPr>
        <w:t xml:space="preserve">●  MOIS PROCHAIN  /  ce qui débloque le tour suivant</w:t>
      </w:r>
    </w:p>
    <w:p>
      <w:pPr>
        <w:pStyle w:val="ListParagraph"/>
        <w:numPr>
          <w:ilvl w:val="0"/>
          <w:numId w:val="2"/>
        </w:numPr>
        <w:spacing w:after="30" w:before="0" w:line="235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Tape-out du chip v4 : cible 16 qubits physiques, erreur 2-qubit sous 0,4%.</w:t>
      </w:r>
    </w:p>
    <w:p>
      <w:pPr>
        <w:pStyle w:val="ListParagraph"/>
        <w:numPr>
          <w:ilvl w:val="0"/>
          <w:numId w:val="2"/>
        </w:numPr>
        <w:spacing w:after="30" w:before="0" w:line="235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Signer POC #3 avec [Pharma Co], 250 k$, target de closing Q3.</w:t>
      </w:r>
    </w:p>
    <w:p>
      <w:pPr>
        <w:pStyle w:val="ListParagraph"/>
        <w:numPr>
          <w:ilvl w:val="0"/>
          <w:numId w:val="2"/>
        </w:numPr>
        <w:spacing w:after="30" w:before="0" w:line="235"/>
      </w:pPr>
      <w:r>
        <w:rPr>
          <w:rFonts w:ascii="Arial" w:cs="Arial" w:eastAsia="Arial" w:hAnsi="Arial"/>
          <w:color w:val="1F2937"/>
          <w:sz w:val="18"/>
          <w:szCs w:val="18"/>
        </w:rPr>
        <w:t xml:space="preserve">Pitch panel EIC étape 3 (mi-mois). Win = ~2,5 M€ non-dilutif, débloque 6 mois de runway additionnel.</w:t>
      </w:r>
    </w:p>
    <w:sectPr>
      <w:headerReference w:type="default" r:id="rId7"/>
      <w:footerReference w:type="default" r:id="rId8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/>
      <w:jc w:val="left"/>
    </w:pPr>
    <w:r>
      <w:rPr>
        <w:rFonts w:ascii="Consolas" w:cs="Consolas" w:eastAsia="Consolas" w:hAnsi="Consolas"/>
        <w:color w:val="9CA3AF"/>
        <w:sz w:val="14"/>
        <w:szCs w:val="14"/>
      </w:rPr>
      <w:t xml:space="preserve">financeforquantum.com / assets / resources</w:t>
    </w:r>
    <w:r>
      <w:rPr>
        <w:rFonts w:ascii="Consolas" w:cs="Consolas" w:eastAsia="Consolas" w:hAnsi="Consolas"/>
        <w:color w:val="9CA3AF"/>
        <w:sz w:val="14"/>
        <w:szCs w:val="14"/>
      </w:rPr>
      <w:t xml:space="preserve">	présenté par CFO Fractal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A1628" w:sz="6" w:space="6"/>
      </w:pBdr>
      <w:tabs>
        <w:tab w:val="right" w:pos="10080"/>
      </w:tabs>
      <w:spacing w:after="0" w:before="0"/>
    </w:pPr>
    <w:r>
      <w:rPr>
        <w:rFonts w:ascii="Consolas" w:cs="Consolas" w:eastAsia="Consolas" w:hAnsi="Consolas"/>
        <w:b/>
        <w:bCs/>
        <w:color w:val="0A1628"/>
        <w:sz w:val="16"/>
        <w:szCs w:val="16"/>
      </w:rPr>
      <w:t xml:space="preserve">●  FINANCE FOR QUANTUM</w:t>
    </w:r>
    <w:r>
      <w:rPr>
        <w:rFonts w:ascii="Consolas" w:cs="Consolas" w:eastAsia="Consolas" w:hAnsi="Consolas"/>
        <w:color w:val="6B7280"/>
        <w:sz w:val="14"/>
        <w:szCs w:val="14"/>
      </w:rPr>
      <w:t xml:space="preserve">	update mensuel investisseurs quantum  /  v1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0A1628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mensuel investisseurs quantum, v1</dc:title>
  <dc:creator>Finance for Quantum</dc:creator>
  <dc:description>Template d’update mensuel investisseurs sur une page, pour fondateurs quantum.</dc:description>
  <cp:lastModifiedBy>Un-named</cp:lastModifiedBy>
  <cp:revision>1</cp:revision>
  <dcterms:created xsi:type="dcterms:W3CDTF">2026-04-30T20:03:48.824Z</dcterms:created>
  <dcterms:modified xsi:type="dcterms:W3CDTF">2026-04-30T20:03:48.824Z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